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tabs>
          <w:tab w:val="left" w:pos="720" w:leader="none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08775" cy="1413510"/>
                <wp:effectExtent l="0" t="0" r="635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53442" cy="14504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4.55pt;height:111.3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транспорта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Межрегиональное территориальное Управление Федеральной службы по надзору в сфере транспорта по П</w:t>
      </w:r>
      <w:r>
        <w:rPr>
          <w:rFonts w:ascii="Times New Roman" w:hAnsi="Times New Roman"/>
          <w:b/>
          <w:bCs/>
          <w:sz w:val="28"/>
          <w:szCs w:val="28"/>
        </w:rPr>
        <w:t xml:space="preserve">риволжскому федеральному округу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ДОКЛАД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руководством по соблюдению обязательных требований, дающих разъяснения, какое поведение является правомерным, а также новых требований нормативных правовых актов в 2025 году.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Федеральный государственный контроль (надзор) в области железнодорожного транспорта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hanging="426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</w:t>
      </w:r>
      <w:r>
        <w:rPr>
          <w:rFonts w:ascii="Times New Roman" w:hAnsi="Times New Roman"/>
          <w:b/>
          <w:bCs/>
          <w:sz w:val="28"/>
          <w:szCs w:val="28"/>
        </w:rPr>
        <w:t xml:space="preserve">Самара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2025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720" w:leader="none"/>
        </w:tabs>
        <w:spacing w:after="0" w:line="3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рамках реализации положений Федерального закона № 248-ФЗ и совершенствования контрольной (надзорной) деятельности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 исполнение постановления Совета Федерации Федерального Собрания Российской Федерации от 2 ноября 2022 г. № 492-СФ «О результатах работы по совершенствованию контрольной (надзорной) деятельности»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Управлением государственного железнодорожного надзора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-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были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разработаны и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зарегистрированы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в Минюсте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приказ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ом №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113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от 08 апреля 2024 года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(с дополнениями)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новые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индикатор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ы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риска нарушения обязательных требований при осуществлении федерального государственного контроля (надзора) в обла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сти железнодорожного транспорта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– в июле 2025 г.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внесены изменения в постановление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Пр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авительства Российской Федерации № 991,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федеральном государственном контроле (надзоре) в обла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сти железнодорожного транспорта.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Положение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Актуализировано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части приведения норм Положения в соответствие с требованиями действующего законодательства Российской Федерации.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Госжелдорнадзор первый в </w:t>
      </w:r>
      <w:r>
        <w:rPr>
          <w:rFonts w:ascii="Times New Roman" w:hAnsi="Times New Roman" w:eastAsia="Calibri"/>
          <w:b/>
          <w:sz w:val="28"/>
          <w:szCs w:val="28"/>
        </w:rPr>
        <w:t xml:space="preserve">Ространснадзоре</w:t>
      </w:r>
      <w:r>
        <w:rPr>
          <w:rFonts w:ascii="Times New Roman" w:hAnsi="Times New Roman" w:eastAsia="Calibri"/>
          <w:b/>
          <w:sz w:val="28"/>
          <w:szCs w:val="28"/>
        </w:rPr>
        <w:t xml:space="preserve"> начал применять на практик</w:t>
      </w:r>
      <w:r>
        <w:rPr>
          <w:rFonts w:ascii="Times New Roman" w:hAnsi="Times New Roman" w:eastAsia="Calibri"/>
          <w:b/>
          <w:sz w:val="28"/>
          <w:szCs w:val="28"/>
        </w:rPr>
        <w:t xml:space="preserve">е обновленные индикаторы риска</w:t>
      </w:r>
      <w:r>
        <w:rPr>
          <w:rFonts w:ascii="Times New Roman" w:hAnsi="Times New Roman" w:eastAsia="Calibri"/>
          <w:b/>
          <w:sz w:val="28"/>
          <w:szCs w:val="28"/>
        </w:rPr>
        <w:t xml:space="preserve">.</w:t>
      </w:r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spacing w:after="0" w:line="340" w:lineRule="exact"/>
        <w:ind w:firstLine="709"/>
        <w:jc w:val="both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В 202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году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нами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организовано и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согласован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о с органами прокуратуры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внепланов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ых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 проверочн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ых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 мероприяти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из них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по случа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срабатывания индикатора риска нарушения обязательных требований. 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spacing w:after="0" w:line="340" w:lineRule="exact"/>
        <w:ind w:firstLine="709"/>
        <w:jc w:val="both"/>
        <w:rPr>
          <w:rFonts w:ascii="Times New Roman" w:hAnsi="Times New Roman" w:eastAsia="Calibri"/>
          <w:color w:val="ff0000"/>
          <w:sz w:val="28"/>
          <w:szCs w:val="28"/>
          <w:highlight w:val="white"/>
        </w:rPr>
      </w:pPr>
      <w:r>
        <w:rPr>
          <w:rFonts w:ascii="Times New Roman" w:hAnsi="Times New Roman" w:eastAsia="Calibri"/>
          <w:color w:val="ff0000"/>
          <w:sz w:val="28"/>
          <w:szCs w:val="28"/>
          <w:highlight w:val="white"/>
        </w:rPr>
        <w:t xml:space="preserve">В 2025 году </w:t>
      </w:r>
      <w:r>
        <w:rPr>
          <w:rFonts w:ascii="Times New Roman" w:hAnsi="Times New Roman" w:eastAsia="Calibri"/>
          <w:color w:val="ff0000"/>
          <w:sz w:val="28"/>
          <w:szCs w:val="28"/>
          <w:highlight w:val="white"/>
        </w:rPr>
        <w:t xml:space="preserve">с органами прокуратуры</w:t>
      </w:r>
      <w:r>
        <w:rPr>
          <w:rFonts w:ascii="Times New Roman" w:hAnsi="Times New Roman" w:eastAsia="Calibri"/>
          <w:color w:val="ff0000"/>
          <w:sz w:val="28"/>
          <w:szCs w:val="28"/>
          <w:highlight w:val="white"/>
        </w:rPr>
        <w:t xml:space="preserve"> согласовано 27 внеплановых проверок, из которых 26 уже проведены. </w:t>
      </w:r>
      <w:r>
        <w:rPr>
          <w:rFonts w:ascii="Times New Roman" w:hAnsi="Times New Roman" w:eastAsia="Calibri"/>
          <w:color w:val="ff0000"/>
          <w:sz w:val="28"/>
          <w:szCs w:val="28"/>
          <w:highlight w:val="white"/>
        </w:rPr>
      </w:r>
      <w:r>
        <w:rPr>
          <w:rFonts w:ascii="Times New Roman" w:hAnsi="Times New Roman" w:eastAsia="Calibri"/>
          <w:color w:val="ff0000"/>
          <w:sz w:val="28"/>
          <w:szCs w:val="28"/>
          <w:highlight w:val="white"/>
        </w:rPr>
      </w:r>
    </w:p>
    <w:p>
      <w:pPr>
        <w:spacing w:after="0" w:line="340" w:lineRule="exact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Хочу отметить, что теперь внеп</w:t>
      </w:r>
      <w:r>
        <w:rPr>
          <w:rFonts w:ascii="Times New Roman" w:hAnsi="Times New Roman" w:eastAsia="Calibri"/>
          <w:sz w:val="28"/>
          <w:szCs w:val="28"/>
        </w:rPr>
        <w:t xml:space="preserve">лановые контрольные (надзорные) мероприятия Госжелдорнадзор может проводить при ср</w:t>
      </w:r>
      <w:r>
        <w:rPr>
          <w:rFonts w:ascii="Times New Roman" w:hAnsi="Times New Roman" w:eastAsia="Calibri"/>
          <w:sz w:val="28"/>
          <w:szCs w:val="28"/>
        </w:rPr>
        <w:t xml:space="preserve">абатывании индикаторов риска в 22</w:t>
      </w:r>
      <w:r>
        <w:rPr>
          <w:rFonts w:ascii="Times New Roman" w:hAnsi="Times New Roman" w:eastAsia="Calibri"/>
          <w:sz w:val="28"/>
          <w:szCs w:val="28"/>
        </w:rPr>
        <w:t xml:space="preserve">-х случаях.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Перечень</w:t>
      </w:r>
      <w:r>
        <w:rPr>
          <w:rFonts w:ascii="Times New Roman" w:hAnsi="Times New Roman" w:eastAsia="Calibri"/>
          <w:sz w:val="28"/>
          <w:szCs w:val="28"/>
        </w:rPr>
        <w:t xml:space="preserve"> индикаторов </w:t>
      </w:r>
      <w:r>
        <w:rPr>
          <w:rFonts w:ascii="Times New Roman" w:hAnsi="Times New Roman" w:eastAsia="Calibri"/>
          <w:sz w:val="28"/>
          <w:szCs w:val="28"/>
        </w:rPr>
        <w:t xml:space="preserve">утвержден </w:t>
      </w:r>
      <w:r>
        <w:rPr>
          <w:rFonts w:ascii="Times New Roman" w:hAnsi="Times New Roman" w:eastAsia="Calibri"/>
          <w:sz w:val="28"/>
          <w:szCs w:val="28"/>
        </w:rPr>
        <w:t xml:space="preserve">Приказ</w:t>
      </w:r>
      <w:r>
        <w:rPr>
          <w:rFonts w:ascii="Times New Roman" w:hAnsi="Times New Roman" w:eastAsia="Calibri"/>
          <w:sz w:val="28"/>
          <w:szCs w:val="28"/>
        </w:rPr>
        <w:t xml:space="preserve">ом</w:t>
      </w:r>
      <w:r>
        <w:rPr>
          <w:rFonts w:ascii="Times New Roman" w:hAnsi="Times New Roman" w:eastAsia="Calibri"/>
          <w:sz w:val="28"/>
          <w:szCs w:val="28"/>
        </w:rPr>
        <w:t xml:space="preserve"> Министерства транспорта Российской Федерации от 8 апреля 2024 г. № 113 «Об утверждении перечня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транспорта: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  <w:t xml:space="preserve">1.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двух случаев схода железнодорожного подвижного состава</w:t>
      </w:r>
      <w:r>
        <w:rPr>
          <w:rFonts w:ascii="Times New Roman" w:hAnsi="Times New Roman" w:eastAsia="Calibri"/>
          <w:sz w:val="28"/>
          <w:szCs w:val="28"/>
        </w:rPr>
        <w:t xml:space="preserve"> (не повлекших крушений или аварий)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из-за технической неисправности, допущенной в результате некачествен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но проведенного обслуживания или ремонта железнодорожного подвижного состава контролируемым лицом</w:t>
      </w:r>
      <w:r>
        <w:rPr>
          <w:rFonts w:ascii="Times New Roman" w:hAnsi="Times New Roman" w:eastAsia="Calibri"/>
          <w:sz w:val="28"/>
          <w:szCs w:val="28"/>
        </w:rPr>
        <w:t xml:space="preserve">,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на железнодорожных путях общего пользования пяти случаев схода железнодорожного подвижного состава</w:t>
      </w:r>
      <w:r>
        <w:rPr>
          <w:rFonts w:ascii="Times New Roman" w:hAnsi="Times New Roman" w:eastAsia="Calibri"/>
          <w:sz w:val="28"/>
          <w:szCs w:val="28"/>
        </w:rPr>
        <w:t xml:space="preserve"> (не повлекших крушений или аварий)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по причине действий (бездействия) структурного подразделения контролируемого лица, осуществляющего на данных путях деятель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ность по эксплуатации инфраструктуры железнодорожного транспорта общего пользования</w:t>
      </w:r>
      <w:r>
        <w:rPr>
          <w:rFonts w:ascii="Times New Roman" w:hAnsi="Times New Roman" w:eastAsia="Calibri"/>
          <w:sz w:val="28"/>
          <w:szCs w:val="28"/>
        </w:rPr>
        <w:t xml:space="preserve"> и составных частей подсистем и элементов составных частей подсистем инфраструктуры железнодорожного транспорта общего пользования,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произошедших в течение года со дня выявле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ния первого случая такого схода.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железнодорожных путях общего пользовани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я двух случаев схода железнодорожного подвижного состава </w:t>
      </w:r>
      <w:r>
        <w:rPr>
          <w:rFonts w:ascii="Times New Roman" w:hAnsi="Times New Roman" w:eastAsia="Calibri"/>
          <w:sz w:val="28"/>
          <w:szCs w:val="28"/>
        </w:rPr>
        <w:t xml:space="preserve">(не повлекших крушений или аварий)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по причине действий (бездействия) структурного подразделения контролируемого лица, осуществляющего на данных путях деятельность по обслуживанию и ремонту инфраструк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туры железнодорожного транспорта общего пользования </w:t>
      </w:r>
      <w:r>
        <w:rPr>
          <w:rFonts w:ascii="Times New Roman" w:hAnsi="Times New Roman" w:eastAsia="Calibri"/>
          <w:sz w:val="28"/>
          <w:szCs w:val="28"/>
        </w:rPr>
        <w:t xml:space="preserve">и составных частей подсистем и элементов составных частей подсистем инфраструктуры железнодорожного транспорта общего пользования,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произошедших в течение года со дня выявления первого случая такого схода</w:t>
      </w:r>
      <w:r>
        <w:rPr>
          <w:rFonts w:ascii="Times New Roman" w:hAnsi="Times New Roman" w:eastAsia="Calibri"/>
          <w:sz w:val="28"/>
          <w:szCs w:val="28"/>
        </w:rPr>
        <w:t xml:space="preserve">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4.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железнодорожных путях необщего пользования двух случаев схода железнодорожного подвижного состава</w:t>
      </w:r>
      <w:r>
        <w:rPr>
          <w:rFonts w:ascii="Times New Roman" w:hAnsi="Times New Roman" w:eastAsia="Calibri"/>
          <w:sz w:val="28"/>
          <w:szCs w:val="28"/>
        </w:rPr>
        <w:t xml:space="preserve"> (не повлекших крушений или аварий)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по причине действий (бездействия) контролируемого лица, осуществляющего на данных путях д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еятельность по эксплуатации железнодорожных путей необщего пользования </w:t>
      </w:r>
      <w:r>
        <w:rPr>
          <w:rFonts w:ascii="Times New Roman" w:hAnsi="Times New Roman" w:eastAsia="Calibri"/>
          <w:sz w:val="28"/>
          <w:szCs w:val="28"/>
        </w:rPr>
        <w:t xml:space="preserve">и составных частей подсистем и элементов составных частей подсистем железнодорожных путей необщего пользования,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произошедших в течение года со дня выявления первого случая такого схода.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5.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знодорожных путях необщего пользования двух случаев схода железнодорожного подвижного состава</w:t>
      </w:r>
      <w:r>
        <w:rPr>
          <w:rFonts w:ascii="Times New Roman" w:hAnsi="Times New Roman" w:eastAsia="Calibri"/>
          <w:sz w:val="28"/>
          <w:szCs w:val="28"/>
        </w:rPr>
        <w:t xml:space="preserve"> (не повлекших крушений или аварий)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по причине действий (бездействия) контролируемого лица, осуществляющего на данных путях деятельность по обслуживанию и ремонту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железнодорожных путей необщего пользования </w:t>
      </w:r>
      <w:r>
        <w:rPr>
          <w:rFonts w:ascii="Times New Roman" w:hAnsi="Times New Roman" w:eastAsia="Calibri"/>
          <w:sz w:val="28"/>
          <w:szCs w:val="28"/>
        </w:rPr>
        <w:t xml:space="preserve">и составных частей подсистем и элементов составных частей подсистем железнодорожных путей необщего пользования,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произошедших в течение года со дня выявления первого случая такого схода.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6.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железнодорожных путях общего пользования пяти событий при перевозке (транспортировке) опасных грузов, связанных с просыпанием, проливом или парением, возникших вследствие повреждения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вагона или контейнера, повреждения упаковки, нарушения герметичности люков вагона (не повлекших фактов причинения вреда либо непосредственной угрозы причинения вреда жизни, здоровью граждан, возникновения чрезвычайных ситуаций природного и техногенного хар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актера) по причине действий (бездействия) контролируемого лица, осуществляющего погрузочно-разгрузочную деятельность на железнодорожном транспорте в местах погрузки опасных грузов, произошедших в течение года со дня выявления первого случая такого события.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7.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железнодорожных путях общего пользования трех событий при перевозке (транспортировке) опасных грузов, связанных с просыпани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ем, проливом или парением, возникших вследствие неисправности вагона или контейнера (не повлекших фактов причинения вреда либо непосредственной угрозы причинения вреда жизни, здоровью граждан, возникновения чрезвычайных ситуаций природного и техногенного х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арактера)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составных частей, произошедших в течение года со дня выявления первого случая такого события.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8.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железнодорожных путях общего пользования пяти случаев отцепки вагона с опасным грузом в пути следования на перегонах или железнодорожных станциях из-за технической неисправности вагона в результате некачественно проведенного обслуживания ил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и ремонта железнодорожного подвижного состава контролируемым лицом,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выявления первого случая такой отцепки.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9. Выявление на железнодорожных путях общего и необщего пользования двух случаев повреждения или отказа тягового железнодорожного подвижного состава2 </w:t>
      </w:r>
      <w:r>
        <w:rPr>
          <w:rFonts w:ascii="Times New Roman" w:hAnsi="Times New Roman" w:eastAsia="Calibri"/>
          <w:sz w:val="28"/>
          <w:szCs w:val="28"/>
        </w:rPr>
        <w:t xml:space="preserve">по причине действий (бездействия) контролируемого лица, осуществляющего деятельность по эксплуатации железнодорожного подвижного состава и его составных частей, вызвавших вынужденную остановку грузового поезда на перегоне или железнодорожной станции, если </w:t>
      </w:r>
      <w:r>
        <w:rPr>
          <w:rFonts w:ascii="Times New Roman" w:hAnsi="Times New Roman" w:eastAsia="Calibri"/>
          <w:sz w:val="28"/>
          <w:szCs w:val="28"/>
        </w:rPr>
        <w:t xml:space="preserve">дальнейшее движение данного поезда продолжено с помощью вспомогательного локомотива, произошедших в течение года со дня выявления первого случая</w:t>
      </w:r>
      <w:r>
        <w:rPr>
          <w:rFonts w:ascii="Times New Roman" w:hAnsi="Times New Roman" w:eastAsia="Calibri"/>
          <w:sz w:val="28"/>
          <w:szCs w:val="28"/>
        </w:rPr>
        <w:t xml:space="preserve"> такого повреждения или отказа.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10.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железнодорожных путях общего и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необщего пользования двух случаев повреждения или отказа тягового железнодорожного подвижного состава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оставных частей, вызвавших вынужденную остановку грузового поезда на перегоне или железнодорожной станции, если дальнейшее движение данного поезда продолжено с помощью вспомогательного локомотива, произошедших в течение года со дня выявления первого случая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 такого повреждения или отказа.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11.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железнодорожных путях общего пользования трех случаев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проезда железнодорожным подвижным составом запрещающего сигнала светофора </w:t>
      </w:r>
      <w:r>
        <w:rPr>
          <w:rFonts w:ascii="Times New Roman" w:hAnsi="Times New Roman" w:eastAsia="Calibri"/>
          <w:sz w:val="28"/>
          <w:szCs w:val="28"/>
        </w:rPr>
        <w:t xml:space="preserve">по причине действий (бездействия) контролируемого лица, осуществляющего деятельность по эксплуатации железнодорожного подвижного состава, произошедших в течение года со дня выявления</w:t>
      </w:r>
      <w:r>
        <w:rPr>
          <w:rFonts w:ascii="Times New Roman" w:hAnsi="Times New Roman" w:eastAsia="Calibri"/>
          <w:sz w:val="28"/>
          <w:szCs w:val="28"/>
        </w:rPr>
        <w:t xml:space="preserve"> первого случая такого проезда.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12.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железнодорожных путях общего пользования двух случаев отцепки вагона от пассажирского поезда (дальнего следования или пригородного) в пути следования, произведенных в результате некачествен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но проведенного обслуживания или ремонта железнодорожного подвижного состава контролируемым лицом</w:t>
      </w:r>
      <w:r>
        <w:rPr>
          <w:rFonts w:ascii="Times New Roman" w:hAnsi="Times New Roman" w:eastAsia="Calibri"/>
          <w:sz w:val="28"/>
          <w:szCs w:val="28"/>
        </w:rPr>
        <w:t xml:space="preserve">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выявлени</w:t>
      </w:r>
      <w:r>
        <w:rPr>
          <w:rFonts w:ascii="Times New Roman" w:hAnsi="Times New Roman" w:eastAsia="Calibri"/>
          <w:sz w:val="28"/>
          <w:szCs w:val="28"/>
        </w:rPr>
        <w:t xml:space="preserve">я первого случая такой отцепки.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13.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жных путях общего пользования пяти случаев технической неисправности железнодорожного подвижного состава, повлекших высадку пассажиров из пассажирского поезда (дальнего следования или пригородного) на железнодорожной станции, в результате некачественно про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веденного обслуживания или ремонта железнодорожного подвижного состава контролируемым лицом</w:t>
      </w:r>
      <w:r>
        <w:rPr>
          <w:rFonts w:ascii="Times New Roman" w:hAnsi="Times New Roman" w:eastAsia="Calibri"/>
          <w:sz w:val="28"/>
          <w:szCs w:val="28"/>
        </w:rPr>
        <w:t xml:space="preserve">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выявления перв</w:t>
      </w:r>
      <w:r>
        <w:rPr>
          <w:rFonts w:ascii="Times New Roman" w:hAnsi="Times New Roman" w:eastAsia="Calibri"/>
          <w:sz w:val="28"/>
          <w:szCs w:val="28"/>
        </w:rPr>
        <w:t xml:space="preserve">ого случая такой неисправности.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</w:t>
      </w:r>
      <w:r>
        <w:rPr>
          <w:rFonts w:ascii="Times New Roman" w:hAnsi="Times New Roman" w:eastAsia="Calibri"/>
          <w:sz w:val="28"/>
          <w:szCs w:val="28"/>
        </w:rPr>
        <w:t xml:space="preserve">4.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железнодорожных путях общего пользования пяти случаев повреждения или отказа тягового железнодорожного подвижного состава по причине действий (бездействия) контролируемого лица, осуществляющего деятельность по эксплуатации железнодорожного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подвижного состава и его составных частей, вызвавших вынужденную оста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новку пассажирского поезда (дальнего следования или пригородного) на перегоне или железнодорожной станции, если дальнейшее движение данного поезда продолжено с помощью вспомогательного локомотива, произошедших в течение года со дня выявления первого случая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 такого повреждения или отказа.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15.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на железнодорожных путях общего пользования пяти случаев повреждения или отказа тягового железн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одорожного подвижного состава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составных частей, вызвавших вынужденную остановку пассажирского поезда (д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альнего следования или пригородного) на перегоне или железнодорожной станции, если дальнейшее движение данного поезда продолжено с помощью вспомогательного локомотива, произошедших в течение года со дня выявления первого случая такого повреждения или отказ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16. Выявление на железнодорожных путях общего пользования двух случаев нарушения целостности конструкций сооружений инфраструкт</w:t>
      </w:r>
      <w:r>
        <w:rPr>
          <w:rFonts w:ascii="Times New Roman" w:hAnsi="Times New Roman" w:eastAsia="Calibri"/>
          <w:sz w:val="28"/>
          <w:szCs w:val="28"/>
        </w:rPr>
        <w:t xml:space="preserve">уры железнодорожного транспорта общего пользования, вызвавших полный перерыв движения поездов по одному из железнодорожных путей на перегоне на один час и более, по причине действий (бездействия) контролируемого лица, осуществляющего деятельность по обслуж</w:t>
      </w:r>
      <w:r>
        <w:rPr>
          <w:rFonts w:ascii="Times New Roman" w:hAnsi="Times New Roman" w:eastAsia="Calibri"/>
          <w:sz w:val="28"/>
          <w:szCs w:val="28"/>
        </w:rPr>
        <w:t xml:space="preserve">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произошедших в течение года со дня выявления п</w:t>
      </w:r>
      <w:r>
        <w:rPr>
          <w:rFonts w:ascii="Times New Roman" w:hAnsi="Times New Roman" w:eastAsia="Calibri"/>
          <w:sz w:val="28"/>
          <w:szCs w:val="28"/>
        </w:rPr>
        <w:t xml:space="preserve">ервого случая такого нарушения.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17. Выявление на железнодорожных путях общего пользования двух случаев нарушения целостности конструкций сооружений и</w:t>
      </w:r>
      <w:r>
        <w:rPr>
          <w:rFonts w:ascii="Times New Roman" w:hAnsi="Times New Roman" w:eastAsia="Calibri"/>
          <w:sz w:val="28"/>
          <w:szCs w:val="28"/>
        </w:rPr>
        <w:t xml:space="preserve">нфраструктуры железнодорожного транспорта общего пользования, вызвавших полный перерыв движения поездов по одному из железнодорожных путей на перегоне на один час и более, по причине действий (бездействия) контролируемого лица, осуществляющего деятельность</w:t>
      </w:r>
      <w:r>
        <w:rPr>
          <w:rFonts w:ascii="Times New Roman" w:hAnsi="Times New Roman" w:eastAsia="Calibri"/>
          <w:sz w:val="28"/>
          <w:szCs w:val="28"/>
        </w:rPr>
        <w:t xml:space="preserve">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произошедших в течение года со дня выявления п</w:t>
      </w:r>
      <w:r>
        <w:rPr>
          <w:rFonts w:ascii="Times New Roman" w:hAnsi="Times New Roman" w:eastAsia="Calibri"/>
          <w:sz w:val="28"/>
          <w:szCs w:val="28"/>
        </w:rPr>
        <w:t xml:space="preserve">ервого случая такого нарушения.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18.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двух случаев отцепки железнодорожного подвижного состава в пути следования, п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роизошедших по причине несоответствия железнодорожного подвижного состава или его составных частей требованиям технических условий или стандартов на продукцию, произведенную одним изготовителем, в течение года со дня выявления первого случая такой отцепки.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19. Выявление двух случаев излома рельса, произошедших по причине его несоответствия требованиям технических условий или стандартов на продукцию, произведенную одним изготовителем, в течение трех лет со дня выявлен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ия первого случая такого излома.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Так же</w:t>
      </w:r>
      <w:r>
        <w:rPr>
          <w:rFonts w:ascii="Times New Roman" w:hAnsi="Times New Roman" w:eastAsia="Calibri"/>
          <w:sz w:val="28"/>
          <w:szCs w:val="28"/>
        </w:rPr>
        <w:t xml:space="preserve">,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Приказ</w:t>
      </w:r>
      <w:r>
        <w:rPr>
          <w:rFonts w:ascii="Times New Roman" w:hAnsi="Times New Roman" w:eastAsia="Calibri"/>
          <w:sz w:val="28"/>
          <w:szCs w:val="28"/>
        </w:rPr>
        <w:t xml:space="preserve">ом</w:t>
      </w:r>
      <w:r>
        <w:rPr>
          <w:rFonts w:ascii="Times New Roman" w:hAnsi="Times New Roman" w:eastAsia="Calibri"/>
          <w:sz w:val="28"/>
          <w:szCs w:val="28"/>
        </w:rPr>
        <w:t xml:space="preserve"> Министерства транспорта Российской Федерации от 27 сентября 2024 г. № 338 </w:t>
      </w:r>
      <w:r>
        <w:rPr>
          <w:rFonts w:ascii="Times New Roman" w:hAnsi="Times New Roman" w:eastAsia="Calibri"/>
          <w:sz w:val="28"/>
          <w:szCs w:val="28"/>
        </w:rPr>
        <w:t xml:space="preserve">внесены изменения в Приказ</w:t>
      </w:r>
      <w:r>
        <w:rPr>
          <w:rFonts w:ascii="Times New Roman" w:hAnsi="Times New Roman" w:eastAsia="Calibri"/>
          <w:sz w:val="28"/>
          <w:szCs w:val="28"/>
        </w:rPr>
        <w:t xml:space="preserve"> Министерства транспорта Российской</w:t>
      </w:r>
      <w:r>
        <w:rPr>
          <w:rFonts w:ascii="Times New Roman" w:hAnsi="Times New Roman" w:eastAsia="Calibri"/>
          <w:sz w:val="28"/>
          <w:szCs w:val="28"/>
        </w:rPr>
        <w:t xml:space="preserve"> Федерации от 8 апреля 2024 г. № 113  </w:t>
      </w:r>
      <w:r>
        <w:rPr>
          <w:rFonts w:ascii="Times New Roman" w:hAnsi="Times New Roman" w:eastAsia="Calibri"/>
          <w:sz w:val="28"/>
          <w:szCs w:val="28"/>
        </w:rPr>
        <w:t xml:space="preserve"> в перечень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транспорта, </w:t>
      </w:r>
      <w:r>
        <w:rPr>
          <w:rFonts w:ascii="Times New Roman" w:hAnsi="Times New Roman" w:eastAsia="Calibri"/>
          <w:sz w:val="28"/>
          <w:szCs w:val="28"/>
        </w:rPr>
        <w:t xml:space="preserve">и добавлены индикаторы: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20.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Выявление двух случаев столкновения железнодорожного подвижного состава с транспортным средством (не повлекших круше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ний и аварий), произошедших на одном и том же железнодорожном переезде, принадлежащем контролируемому лицу, осуществляющему деятельность по эксплуатации инфраструктуры железнодорожного транспорта общего пользования, в течение трех лет со дня выявления перв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ого случая такого столкновения.</w:t>
      </w: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21. Выявление двух случаев столкновения железнодорожного подвижного состава с транспортным средством (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не повлекших крушений и аварий), произошедших на одном и том же железнодорожном переезде, принадлежащем контролируемому лицу, осуществляющему деятельность по эксплуатации железнодорожных путей необщего пользования, в течение пяти лет со дня выявления перво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го случая такого столкновения. </w:t>
      </w:r>
      <w:r>
        <w:rPr>
          <w:rFonts w:ascii="Times New Roman" w:hAnsi="Times New Roman" w:eastAsia="Calibri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/>
          <w:b/>
          <w:bCs/>
          <w:sz w:val="28"/>
          <w:szCs w:val="28"/>
          <w:highlight w:val="none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И последний индикатор введен  в перечень индикаторов риска нарушения обязательных требований Приказом от 03.04.2025 № 117:</w:t>
      </w:r>
      <w:r>
        <w:rPr>
          <w:rFonts w:ascii="Times New Roman" w:hAnsi="Times New Roman" w:eastAsia="Calibri"/>
          <w:sz w:val="28"/>
          <w:szCs w:val="28"/>
          <w:highlight w:val="none"/>
        </w:rPr>
      </w:r>
      <w:r>
        <w:rPr>
          <w:rFonts w:ascii="Times New Roman" w:hAnsi="Times New Roman" w:eastAsia="Calibri"/>
          <w:sz w:val="28"/>
          <w:szCs w:val="28"/>
          <w:highlight w:val="none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eastAsia="Calibri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/>
          <w:b/>
          <w:bCs/>
          <w:sz w:val="28"/>
          <w:szCs w:val="28"/>
          <w:highlight w:val="none"/>
        </w:rPr>
        <w:t xml:space="preserve">22. Выявление двух случаев травмирования граждан, произошедших на одном и том же пешеходном переходе чер</w:t>
      </w:r>
      <w:r>
        <w:rPr>
          <w:rFonts w:ascii="Times New Roman" w:hAnsi="Times New Roman" w:eastAsia="Calibri"/>
          <w:b/>
          <w:bCs/>
          <w:sz w:val="28"/>
          <w:szCs w:val="28"/>
          <w:highlight w:val="none"/>
        </w:rPr>
        <w:t xml:space="preserve">ез железнодорожные пути общего пользования, принадлежащем контролируемому лицу, осуществляющему деятельность по эксплуатации инфраструктуры железнодорожного транспорта общего пользования, в течение года со дня выявления первого случая такого травмирования.</w:t>
      </w:r>
      <w:r>
        <w:rPr>
          <w:rFonts w:ascii="Times New Roman" w:hAnsi="Times New Roman" w:eastAsia="Calibri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/>
          <w:b/>
          <w:bCs/>
          <w:sz w:val="28"/>
          <w:szCs w:val="28"/>
          <w:highlight w:val="none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2025 году в соответствии с поручением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Заместителя Председателя правительства Российской Федерации – Руководителя Аппарата Правительства Российской Федерации в  </w:t>
      </w:r>
      <w:r>
        <w:rPr>
          <w:rFonts w:ascii="Times New Roman" w:hAnsi="Times New Roman"/>
          <w:sz w:val="28"/>
          <w:szCs w:val="28"/>
          <w:highlight w:val="none"/>
        </w:rPr>
        <w:t xml:space="preserve">протоколе совещания </w:t>
      </w:r>
      <w:r>
        <w:rPr>
          <w:rFonts w:ascii="Times New Roman" w:hAnsi="Times New Roman"/>
          <w:sz w:val="28"/>
          <w:szCs w:val="28"/>
          <w:highlight w:val="none"/>
        </w:rPr>
        <w:t xml:space="preserve">от 31.01.2025 № ДГ-П36-5пр «Об итогах реформы контрольной (надзорной) деятельности в 2020 - 2024 годах», фед</w:t>
      </w:r>
      <w:r>
        <w:rPr>
          <w:rFonts w:ascii="Times New Roman" w:hAnsi="Times New Roman"/>
          <w:sz w:val="28"/>
          <w:szCs w:val="28"/>
          <w:highlight w:val="none"/>
        </w:rPr>
        <w:t xml:space="preserve">еральные контрольные (надзорные) органы обязаны обеспечить проведение  проверочных мероприятий, осуществляемых в рамках ко</w:t>
      </w:r>
      <w:r>
        <w:rPr>
          <w:rFonts w:ascii="Times New Roman" w:hAnsi="Times New Roman"/>
          <w:sz w:val="28"/>
          <w:szCs w:val="28"/>
          <w:highlight w:val="none"/>
        </w:rPr>
        <w:t xml:space="preserve">нтрольной (надзорной) деятельности, с использованием Мобильного Приложения «Инспектор». Для подключения к МП «Инспектор» </w:t>
      </w:r>
      <w:r>
        <w:rPr>
          <w:rFonts w:ascii="Times New Roman" w:hAnsi="Times New Roman"/>
          <w:b/>
          <w:bCs/>
          <w:i/>
          <w:iCs/>
          <w:sz w:val="28"/>
          <w:szCs w:val="28"/>
          <w:highlight w:val="none"/>
        </w:rPr>
        <w:t xml:space="preserve">должностному лицу организации</w:t>
      </w:r>
      <w:r>
        <w:rPr>
          <w:rFonts w:ascii="Times New Roman" w:hAnsi="Times New Roman"/>
          <w:sz w:val="28"/>
          <w:szCs w:val="28"/>
          <w:highlight w:val="none"/>
        </w:rPr>
        <w:t xml:space="preserve"> необходимо иметь право доступа к Госуслугам организации (с инструкцией Вы можете ознакомиться на сайте</w:t>
      </w:r>
      <w:r>
        <w:rPr>
          <w:rFonts w:ascii="Times New Roman" w:hAnsi="Times New Roman"/>
          <w:sz w:val="28"/>
          <w:szCs w:val="28"/>
          <w:highlight w:val="none"/>
        </w:rPr>
        <w:t xml:space="preserve"> Ространснадзора).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line="340" w:lineRule="exact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МП «Инспектор» Госжелдорнадзором МТУ Ространснадзора по ПФО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  <w:t xml:space="preserve">а 9 месяцев 2025 года 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проведено 10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внеплановых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конт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  <w:t xml:space="preserve">рольных (надзорных) мероприятий,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2 консультирования с 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(ООО «Уреньнефтепродукт», ВРД «УралХим»). Необходимо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отметить, что консультирование с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МП «Инспектор»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организаций (юридических лиц) проводится только при подаче заявлениям на ГОСУСЛУГИ.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Для поддержания должного уровня обеспечения безопасности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в области железнодорожного транспорта Госжелдорнадзором были приняты меры по увеличению количества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профилактических мероприятий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направленных на предупреждение возможных нарушений обязательных требований.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Одним из них является профилактический визит.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Постановлением Правительства РФ от 29.01.2025 № 66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внесены изменения в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Положение о федеральном государственном контроле (надзоре) в области железнодорожного транспорта.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ходе профилактического визита инспектор информирует контролируемое лицо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также осуществляет ознакомление с объектом контроля, сбор сведений, необходимых для отнесения объек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тов контроля к категориям риска, и проводит оценку уровня соблюдения контролируемым лицом обязательных требований.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Профилактический визит проводится по инициативе контролирующего органа (обязательный профилактический визит) или по инициативе контролируемого лица.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С 01.09.2025 с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Обязательный профилактический визит не предусматривает отказ контролируемого лица от его проведения.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Фотосъемка и видеозапись при проведении осмотра в рамках обязательного профилактического визита осуществляются с использованием мобильного приложения «Инспектор».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о государственном контроле (надзоре) для контрольных (надзорных) ме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роприятий.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ю 10 статьи 65 Федерального закона о государственном контроле (надзоре) для контрольных (надзорных) мероприятий.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случае невозможности проведения обязательного профилактического визита уполномоченное должностное лицо контролирующего органа вправе не позднее 3 месяцев с даты составления акта о невозможности проведения обязательного профилактического визита принять реш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ение о повторном проведении обязательного профилактического визита в отношении контролируемого лица.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ого закона о государственном контроле (надзоре).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альным учреждением.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К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онтролируемое лицо подает заявление о проведении профилактического визита посредством федеральной государственной информационной системы «Единый портал государственных и муниципальных услуг (функций)». Контролирующий орган рассматривает заявление в течение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10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 случае принятия решения о проведении профилактического визита контролирующий орган в течение 20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Решение об отказе в проведении профилактического визита принимается в случаях, установленных частью 4 статьи 52.2 Федерального закона о государственном контроле (надзоре).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законом о государственном контроле (надзоре).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Контролируемое лицо вправе отозвать заявление о проведении профилактического визита либо направить отказ от проведения профилактического визита, уведомив об этом контролирующий орган не позднее чем за 5 рабочих дней до даты его проведения.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информацию об этом уполномоченному должностному лицу контролирующего органа для принятия решения о проведении контрольных (надзорных) мероприятий.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Постановлением Правительства Российской Федерации от 01.10.2025 </w:t>
        <w:br/>
        <w:t xml:space="preserve">№ 1511 установлена периодичность проведения обязательных профилактических визитов.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В рамках государственного контроля (надзора)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(ущерба).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Обязательные профилактические визиты в рамках государственного контроля (надзора) осуществляются со следующей периодичностью: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а) для объектов контроля, отнесенных к категории значительного риска - не более одного обязательного профилактического визита в 3 года;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б) для объектов контроля, отнесенных к категории среднего риска - не более одного обязательного профилактического визита в 5 лет;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widowControl w:val="off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в) для объектов контроля, отнесенных к категории умеренного риска - не более одного обязательного профилактического визита в 6 лет.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7"/>
        <w:spacing w:before="0" w:after="0" w:line="340" w:lineRule="exact"/>
        <w:ind w:firstLine="709"/>
      </w:pPr>
      <w:r>
        <w:rPr>
          <w:b w:val="0"/>
          <w:i w:val="0"/>
          <w:highlight w:val="none"/>
        </w:rPr>
        <w:t xml:space="preserve">Контролирующий орган при осуществлении государственного контроля (надзора) относит объекты контроля к одной из следующих категорий риска причинения вреда (ущерба) (далее - категории риска):</w:t>
      </w:r>
      <w:r>
        <w:rPr>
          <w:b w:val="0"/>
          <w:i w:val="0"/>
          <w:highlight w:val="none"/>
        </w:rPr>
      </w:r>
    </w:p>
    <w:p>
      <w:pPr>
        <w:pStyle w:val="837"/>
        <w:spacing w:before="0" w:after="0" w:line="340" w:lineRule="exact"/>
        <w:ind w:firstLine="709"/>
      </w:pPr>
      <w:r>
        <w:rPr>
          <w:b w:val="0"/>
          <w:i w:val="0"/>
          <w:highlight w:val="none"/>
        </w:rPr>
        <w:t xml:space="preserve">чрезвычайно высокий риск;</w:t>
      </w:r>
      <w:r>
        <w:rPr>
          <w:b w:val="0"/>
          <w:i w:val="0"/>
          <w:highlight w:val="none"/>
        </w:rPr>
      </w:r>
    </w:p>
    <w:p>
      <w:pPr>
        <w:pStyle w:val="837"/>
        <w:spacing w:before="0" w:after="0" w:line="340" w:lineRule="exact"/>
        <w:ind w:firstLine="709"/>
      </w:pPr>
      <w:r>
        <w:rPr>
          <w:b w:val="0"/>
          <w:i w:val="0"/>
          <w:highlight w:val="none"/>
        </w:rPr>
        <w:t xml:space="preserve">высокий риск;</w:t>
      </w:r>
      <w:r>
        <w:rPr>
          <w:b w:val="0"/>
          <w:i w:val="0"/>
          <w:highlight w:val="none"/>
        </w:rPr>
      </w:r>
    </w:p>
    <w:p>
      <w:pPr>
        <w:pStyle w:val="837"/>
        <w:spacing w:before="0" w:after="0" w:line="340" w:lineRule="exact"/>
        <w:ind w:firstLine="709"/>
      </w:pPr>
      <w:r>
        <w:rPr>
          <w:b w:val="0"/>
          <w:i w:val="0"/>
          <w:highlight w:val="none"/>
        </w:rPr>
        <w:t xml:space="preserve">значительный риск;</w:t>
      </w:r>
      <w:r>
        <w:rPr>
          <w:b w:val="0"/>
          <w:i w:val="0"/>
          <w:highlight w:val="none"/>
        </w:rPr>
      </w:r>
    </w:p>
    <w:p>
      <w:pPr>
        <w:pStyle w:val="837"/>
        <w:spacing w:before="0" w:after="0" w:line="340" w:lineRule="exact"/>
        <w:ind w:firstLine="709"/>
      </w:pPr>
      <w:r>
        <w:rPr>
          <w:b w:val="0"/>
          <w:i w:val="0"/>
          <w:highlight w:val="none"/>
        </w:rPr>
        <w:t xml:space="preserve">средний риск;</w:t>
      </w:r>
      <w:r>
        <w:rPr>
          <w:b w:val="0"/>
          <w:i w:val="0"/>
          <w:highlight w:val="none"/>
        </w:rPr>
      </w:r>
    </w:p>
    <w:p>
      <w:pPr>
        <w:pStyle w:val="837"/>
        <w:spacing w:before="0" w:after="0" w:line="340" w:lineRule="exact"/>
        <w:ind w:firstLine="709"/>
      </w:pPr>
      <w:r>
        <w:rPr>
          <w:b w:val="0"/>
          <w:i w:val="0"/>
          <w:highlight w:val="none"/>
        </w:rPr>
        <w:t xml:space="preserve">умеренный риск;</w:t>
      </w:r>
      <w:r>
        <w:rPr>
          <w:b w:val="0"/>
          <w:i w:val="0"/>
          <w:highlight w:val="none"/>
        </w:rPr>
      </w:r>
    </w:p>
    <w:p>
      <w:pPr>
        <w:pStyle w:val="837"/>
        <w:spacing w:before="0" w:after="0" w:line="340" w:lineRule="exact"/>
        <w:ind w:firstLine="709"/>
        <w:rPr>
          <w:b w:val="0"/>
          <w:bCs w:val="0"/>
          <w:i w:val="0"/>
          <w:highlight w:val="none"/>
        </w:rPr>
      </w:pPr>
      <w:r>
        <w:rPr>
          <w:b w:val="0"/>
          <w:i w:val="0"/>
          <w:highlight w:val="none"/>
        </w:rPr>
        <w:t xml:space="preserve">низкий риск.</w:t>
      </w:r>
      <w:r>
        <w:rPr>
          <w:b w:val="0"/>
          <w:bCs w:val="0"/>
          <w:i w:val="0"/>
          <w:highlight w:val="none"/>
        </w:rPr>
      </w:r>
      <w:r>
        <w:rPr>
          <w:b w:val="0"/>
          <w:bCs w:val="0"/>
          <w:i w:val="0"/>
          <w:highlight w:val="none"/>
        </w:rPr>
      </w:r>
    </w:p>
    <w:p>
      <w:pPr>
        <w:pStyle w:val="837"/>
        <w:spacing w:before="0" w:after="0" w:line="340" w:lineRule="exact"/>
        <w:ind w:firstLine="709"/>
        <w:rPr>
          <w:b w:val="0"/>
          <w:bCs w:val="0"/>
          <w:i w:val="0"/>
          <w:highlight w:val="none"/>
        </w:rPr>
      </w:pPr>
      <w:r>
        <w:rPr>
          <w:b w:val="0"/>
          <w:bCs w:val="0"/>
          <w:i w:val="0"/>
        </w:rPr>
      </w:r>
      <w:r>
        <w:rPr>
          <w:b w:val="0"/>
          <w:bCs w:val="0"/>
          <w:i w:val="0"/>
        </w:rPr>
        <w:t xml:space="preserve">С учетом тяжести потенциальных негативных последствий возможного несоблюдения контролируемыми лицами, обязательных требований, объекты контроля подлежат отнесению к категории тяжести А, Б, В, Г, Д.</w:t>
      </w:r>
      <w:r>
        <w:rPr>
          <w:b w:val="0"/>
          <w:bCs w:val="0"/>
          <w:i w:val="0"/>
          <w:highlight w:val="none"/>
        </w:rPr>
      </w:r>
      <w:r>
        <w:rPr>
          <w:b w:val="0"/>
          <w:bCs w:val="0"/>
          <w:i w:val="0"/>
          <w:highlight w:val="none"/>
        </w:rPr>
      </w:r>
    </w:p>
    <w:p>
      <w:pPr>
        <w:pStyle w:val="837"/>
        <w:spacing w:before="0" w:after="0" w:line="340" w:lineRule="exact"/>
        <w:ind w:firstLine="709"/>
        <w:rPr>
          <w:b w:val="0"/>
          <w:bCs w:val="0"/>
          <w:i w:val="0"/>
          <w:highlight w:val="none"/>
        </w:rPr>
      </w:pPr>
      <w:r>
        <w:rPr>
          <w:b w:val="0"/>
          <w:bCs w:val="0"/>
          <w:i w:val="0"/>
          <w:highlight w:val="none"/>
        </w:rPr>
        <w:t xml:space="preserve">С учетом оценки вероятности несоблюдения контролируемыми лицами обязательных требований за последние 5 лет объект контроля подлежит отнесению к категории вероятности 1, 2, 3, 4, 5, 6.</w:t>
      </w:r>
      <w:r>
        <w:rPr>
          <w:b w:val="0"/>
          <w:bCs w:val="0"/>
          <w:i w:val="0"/>
          <w:highlight w:val="none"/>
        </w:rPr>
      </w:r>
      <w:r>
        <w:rPr>
          <w:b w:val="0"/>
          <w:bCs w:val="0"/>
          <w:i w:val="0"/>
          <w:highlight w:val="none"/>
        </w:rPr>
      </w:r>
    </w:p>
    <w:p>
      <w:pPr>
        <w:pStyle w:val="837"/>
        <w:spacing w:before="0" w:after="0" w:line="340" w:lineRule="exact"/>
        <w:ind w:firstLine="709"/>
        <w:rPr>
          <w:b w:val="0"/>
          <w:bCs w:val="0"/>
          <w:i w:val="0"/>
        </w:rPr>
      </w:pPr>
      <w:r>
        <w:rPr>
          <w:b w:val="0"/>
          <w:bCs w:val="0"/>
          <w:i w:val="0"/>
          <w:highlight w:val="none"/>
        </w:rPr>
        <w:t xml:space="preserve">Категория риска определяется на основании сочетания категории тяжести и категории вероятности, указанных в матрице категории риска причинения вреда (ущерба). </w:t>
      </w:r>
      <w:r>
        <w:rPr>
          <w:b w:val="0"/>
          <w:bCs w:val="0"/>
          <w:i w:val="0"/>
        </w:rPr>
      </w:r>
      <w:r>
        <w:rPr>
          <w:b w:val="0"/>
          <w:bCs w:val="0"/>
          <w:i w:val="0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Работа, проводимая </w:t>
      </w:r>
      <w:r>
        <w:rPr>
          <w:rFonts w:ascii="Times New Roman" w:hAnsi="Times New Roman"/>
          <w:b/>
          <w:sz w:val="28"/>
          <w:szCs w:val="28"/>
        </w:rPr>
        <w:t xml:space="preserve">Госжелдорнадзором</w:t>
      </w:r>
      <w:r>
        <w:rPr>
          <w:rFonts w:ascii="Times New Roman" w:hAnsi="Times New Roman"/>
          <w:b/>
          <w:sz w:val="28"/>
          <w:szCs w:val="28"/>
        </w:rPr>
        <w:t xml:space="preserve">, направленная на предоставление возможности контролируемому лицу снизить категорию риска своим объектам контроля.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снижения категории риска контролируемому лицу необходимо сделать 3 вещи: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пройти процедуру самостоятельной оценки соблюдения обязательных требований в виде </w:t>
      </w:r>
      <w:r>
        <w:rPr>
          <w:rFonts w:ascii="Times New Roman" w:hAnsi="Times New Roman"/>
          <w:sz w:val="28"/>
          <w:szCs w:val="28"/>
        </w:rPr>
        <w:t xml:space="preserve">Самообследования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принять Декларацию соблюдения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соответствовать критериям добросовестности.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Самообследование</w:t>
      </w:r>
      <w:r>
        <w:rPr>
          <w:rFonts w:ascii="Times New Roman" w:hAnsi="Times New Roman"/>
          <w:sz w:val="28"/>
          <w:szCs w:val="28"/>
        </w:rPr>
        <w:t xml:space="preserve"> – это процедура, в рамках которой контролируемое лицо может добровольно определить уровень соблюдения им обязательных требований, (т.е., другими словами, это плановая проверка, которую </w:t>
      </w:r>
      <w:r>
        <w:rPr>
          <w:rFonts w:ascii="Times New Roman" w:hAnsi="Times New Roman"/>
          <w:sz w:val="28"/>
          <w:szCs w:val="28"/>
        </w:rPr>
        <w:t xml:space="preserve">контролируемое лицо проводит по чек-листу в отношении своего объекта контроля самостоятельно).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проведенного </w:t>
      </w:r>
      <w:r>
        <w:rPr>
          <w:rFonts w:ascii="Times New Roman" w:hAnsi="Times New Roman"/>
          <w:sz w:val="28"/>
          <w:szCs w:val="28"/>
        </w:rPr>
        <w:t xml:space="preserve">Самообследования</w:t>
      </w:r>
      <w:r>
        <w:rPr>
          <w:rFonts w:ascii="Times New Roman" w:hAnsi="Times New Roman"/>
          <w:sz w:val="28"/>
          <w:szCs w:val="28"/>
        </w:rPr>
        <w:t xml:space="preserve"> контролируемые лица могут принять Декларацию соблюдения обязательных требований, которая будет зарегистрирована </w:t>
      </w:r>
      <w:r>
        <w:rPr>
          <w:rFonts w:ascii="Times New Roman" w:hAnsi="Times New Roman"/>
          <w:sz w:val="28"/>
          <w:szCs w:val="28"/>
        </w:rPr>
        <w:t xml:space="preserve">Ространснадзором</w:t>
      </w:r>
      <w:r>
        <w:rPr>
          <w:rFonts w:ascii="Times New Roman" w:hAnsi="Times New Roman"/>
          <w:sz w:val="28"/>
          <w:szCs w:val="28"/>
        </w:rPr>
        <w:t xml:space="preserve"> и размещена на нашем официальном сайте. (Срок действия Декларации 3 года с даты регистрации).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последним условием необходимым для понижения категории риска является соответствие критериям добросовестности.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Критериями добросовестности являются (если применимо к объекту контроля):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в течение 2 лет до даты проведения оценки по причине действия (бездействия) владельца объекта контроля транспортных происшествий (крушений и аварий), допущенных на железнодорожном транспорте;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</w:t>
      </w:r>
      <w:r>
        <w:rPr>
          <w:rFonts w:ascii="Times New Roman" w:hAnsi="Times New Roman"/>
          <w:sz w:val="28"/>
          <w:szCs w:val="28"/>
        </w:rPr>
        <w:t xml:space="preserve">твие в течение 1 года до даты проведения оценки фактов несвоевременного и недостоверного представления контролируемым лицом в контролирующий орган обязательной информации, предусмотренной нормативными правовыми актами в области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контролируемым лицом доступа контролирующему органу к своим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информационным ресурсам</w:t>
      </w:r>
      <w:r>
        <w:rPr>
          <w:rFonts w:ascii="Times New Roman" w:hAnsi="Times New Roman"/>
          <w:sz w:val="28"/>
          <w:szCs w:val="28"/>
        </w:rPr>
        <w:t xml:space="preserve"> в рамках соглашения об информационном взаимодействии;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договора добровольного страхования рисков причинения вреда (ущерба) охраняемым законом ценностям вследствие нарушения контролируемым лицом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внедренных сертифицированных систем внутреннего контроля в соответствующей сфере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соответствии объекта контроля одному или нескольким критериям добросовестности такой объект контроля подлежит отнесению к категории низкого риска.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Декларация о соблюдении обязательных требований и копии документов, указанные в настоящем пункте, должны быть подписаны руководителем контролируемого лица.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контролируемых лиц о применении в отношении их мер стимулирования добросовестности осуществляется контролирующим органом посредством размещения соответствующих сведений на официальном сайте </w:t>
      </w:r>
      <w:r>
        <w:rPr>
          <w:rFonts w:ascii="Times New Roman" w:hAnsi="Times New Roman"/>
          <w:sz w:val="28"/>
          <w:szCs w:val="28"/>
        </w:rPr>
        <w:t xml:space="preserve">контролирующего органа в сети "Интернет" в срок не позднее 5 рабочих дней со дня принятия решения о применении указанных мер.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соблюдении всех условий т.е. соответствие критериям добросовестности и принятия Декларации, категория риска у таких объектов понижается до низкой, и плановые проверки и обязательные профилактические визиты не проводятся.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Полагаю, что данная возможность должна мотивировать контролируемых лиц заниматься вопросами безопасности в долгосрочной перспективе и на постоянной основе.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Приказом Минтранса России от 19.12.2024 № 447 внес</w:t>
      </w:r>
      <w:r>
        <w:rPr>
          <w:rFonts w:ascii="Times New Roman" w:hAnsi="Times New Roman"/>
          <w:sz w:val="28"/>
          <w:szCs w:val="28"/>
          <w:highlight w:val="none"/>
        </w:rPr>
        <w:t xml:space="preserve">ены изменения в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Приказ Министерства транспорта РФ от 05.10.2022 № 402 «Об утверждении условий эксплуатации железнодорожных переездов».</w:t>
      </w:r>
      <w:r>
        <w:rPr>
          <w:rFonts w:ascii="Times New Roman" w:hAnsi="Times New Roman"/>
          <w:sz w:val="28"/>
          <w:szCs w:val="28"/>
          <w:highlight w:val="white"/>
        </w:rPr>
        <w:t xml:space="preserve"> А именно, пункт 4 дополнен следующими требованиями.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</w:pP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 случае возникновения дорожно-транспортного происшествия с железнодорожным подвижным составом на железнодорожном переезде владелец инфраструктуры железнодорожного транспорта общего пользования или владелец железнодорожных путей необщего пользования в течен</w:t>
      </w:r>
      <w:r>
        <w:rPr>
          <w:rFonts w:ascii="Times New Roman" w:hAnsi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</w:rPr>
        <w:t xml:space="preserve">е </w:t>
        <w:br/>
      </w:r>
      <w:r>
        <w:rPr>
          <w:rFonts w:ascii="Times New Roman" w:hAnsi="Times New Roman"/>
          <w:sz w:val="28"/>
          <w:szCs w:val="28"/>
          <w:highlight w:val="none"/>
          <w:u w:val="single"/>
        </w:rPr>
        <w:t xml:space="preserve">15 календарных дней</w:t>
      </w:r>
      <w:r>
        <w:rPr>
          <w:rFonts w:ascii="Times New Roman" w:hAnsi="Times New Roman"/>
          <w:sz w:val="28"/>
          <w:szCs w:val="28"/>
          <w:highlight w:val="none"/>
        </w:rPr>
        <w:t xml:space="preserve"> со дня возникновения такого дорожно-транспортного происшествия должны провести комиссионное обследование принадлежащих им железнодорожных переездов и участка автомобильной дороги на расстоянии не менее 300 метров от железнодорожного п</w:t>
      </w:r>
      <w:r>
        <w:rPr>
          <w:rFonts w:ascii="Times New Roman" w:hAnsi="Times New Roman"/>
          <w:sz w:val="28"/>
          <w:szCs w:val="28"/>
          <w:highlight w:val="none"/>
        </w:rPr>
        <w:t xml:space="preserve">ереезда.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</w:pP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 случаях возведения объектов недвижимого имущества в непосредственной близости от объектов железнодорожного транспорта владельцем инфраструктуры железнодорожного транспорта общего пользования или владельцем железнодорожных путей необщего пользования по соб</w:t>
      </w:r>
      <w:r>
        <w:rPr>
          <w:rFonts w:ascii="Times New Roman" w:hAnsi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</w:rPr>
        <w:t xml:space="preserve">твенной инициативе либо на основании обращения владельца автомобильной дороги к владельцу инфраструктуры железнодорожного транспорта общего пользования или владельцу железнодорожных путей необщего пользования проводится комиссионное обследование железнодор</w:t>
      </w:r>
      <w:r>
        <w:rPr>
          <w:rFonts w:ascii="Times New Roman" w:hAnsi="Times New Roman"/>
          <w:sz w:val="28"/>
          <w:szCs w:val="28"/>
          <w:highlight w:val="none"/>
        </w:rPr>
        <w:t xml:space="preserve">ожных переездов, включающее осмотр их эксплуатационного состояния и обустройства и участка автомобильной дороги на расстоянии не менее 300 метров от железнодорожного переезда.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6 дополнен следующим: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Определение категории железнодорожного переезда осуществляется владельцем инфраструктуры железнодорожного транспорта общего пользования или владельцем железнодорожных путей необщего пользования, исходя из интенсивности движения поездов и транспортных с</w:t>
      </w:r>
      <w:r>
        <w:rPr>
          <w:rFonts w:ascii="Times New Roman" w:hAnsi="Times New Roman"/>
          <w:sz w:val="28"/>
          <w:szCs w:val="28"/>
          <w:highlight w:val="none"/>
        </w:rPr>
        <w:t xml:space="preserve">редств,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а также из среднегодовой суточной интенсивности движения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через железнодорожный переезд.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Проверка интенсивности движения поездов и транспортных средств, условий работы железнодорожных переездов и определение их категорий осуществляются владельцем инфраструктуры железнодорожного транспорта общего пользования не реже одного раза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в течение календа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рного года,</w:t>
      </w:r>
      <w:r>
        <w:rPr>
          <w:rFonts w:ascii="Times New Roman" w:hAnsi="Times New Roman"/>
          <w:sz w:val="28"/>
          <w:szCs w:val="28"/>
          <w:highlight w:val="none"/>
        </w:rPr>
        <w:t xml:space="preserve"> владельцем железнодорожных путей необщего пользования -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не реже одного раза в течение трех календарных лет.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19 пункт внесено дополнение об ответственности за обеспечение видимости: 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тветственными за обеспечение видимости приближающегося поезда (локомотива, дрезины) к железнодорожному переезду являются владелец инфраструктуры железнодорожного транспорта общего пользования в пределах полосы отвода железной дороги, владелец автомобильной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дороги в пределах полосы отвода автомобильной дороги.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Условиях введено понятие Пересечения железнодорожных путей в одном у</w:t>
      </w:r>
      <w:r>
        <w:rPr>
          <w:rFonts w:ascii="Times New Roman" w:hAnsi="Times New Roman"/>
          <w:sz w:val="28"/>
          <w:szCs w:val="28"/>
        </w:rPr>
        <w:t xml:space="preserve">ровне с проезжей частью автомобильных дорог, предназначенных для обеспечения технологического процесса работы данных предприятий, которые относятся к технологическим проездам. Порядок обеспечения безопасности движения железнодорожного подвижного состава (п</w:t>
      </w:r>
      <w:r>
        <w:rPr>
          <w:rFonts w:ascii="Times New Roman" w:hAnsi="Times New Roman"/>
          <w:sz w:val="28"/>
          <w:szCs w:val="28"/>
        </w:rPr>
        <w:t xml:space="preserve">оездов) и транспортных средств, содержания и обслуживания технологических проездов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3679" w:leader="none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01.09.2025 утратил силу Приказ от 26.03.2009 № 46 «О порядке открытия и закрытия  пересечений железнодорожных путей автомобильными дорогами (железнодорожных переездов)»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Вступил в действие Приказ от 11.03.2025 № 84</w:t>
      </w:r>
      <w:r>
        <w:rPr>
          <w:rFonts w:ascii="Times New Roman" w:hAnsi="Times New Roman"/>
          <w:sz w:val="28"/>
          <w:szCs w:val="28"/>
        </w:rPr>
        <w:t xml:space="preserve"> «Об установлении порядка определения пересечений железнодорожных путей автомобильными дорогами (железнодорожные переезды) и правил пересечения железнодорожных путей, порядка открытия и закрытия железнодорожных переездов (Далее - Приказ).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Приложением 1 Приказа определен порядок </w:t>
      </w:r>
      <w:r>
        <w:rPr>
          <w:rFonts w:ascii="Times New Roman" w:hAnsi="Times New Roman"/>
          <w:sz w:val="28"/>
          <w:szCs w:val="28"/>
        </w:rPr>
        <w:t xml:space="preserve">определения пересечений железнодорожных путей автомобильными дорогами, представлена форма Акта </w:t>
      </w:r>
      <w:r>
        <w:rPr>
          <w:rFonts w:ascii="Times New Roman" w:hAnsi="Times New Roman"/>
          <w:sz w:val="28"/>
          <w:szCs w:val="28"/>
        </w:rPr>
        <w:t xml:space="preserve">определения места установления железнодорожного переезда, сроки принятия решений причастными лицами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Приложением 2 к Приказу определен порядок открытия и закрытия железнодорожных переездов, определена форма Заявления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открытии железнодорожного переезда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Заявление о закрытии железнодорожного переезда.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58"/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255" w:line="270" w:lineRule="atLeast"/>
        <w:ind w:left="0" w:righ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С 01 сентября 2025 г. вступил в силу Приказ Минтранса РФ от 24 февраля 2025 г. № 59 который определяет Порядок обеспечения условий доступности для пассажиров из числа инвалидов пассажирских вагонов, железнодорожных вокзалов, поездов дальнего следования и предоставляемых на железнодорожных вокзалах и в поездах дальнего следования услуг.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Настоящий приказ действует до 1 сентября 2031 г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6 лет).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/>
        <w:ind w:left="0" w:right="0" w:firstLine="720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 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1 сентября 2025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вступил в силу на 6 лет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Приказ Минтранса РФ от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 апреля 2025 г. N 118 который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становил: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/>
        <w:ind w:left="0" w:right="0" w:firstLine="720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порядок 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риостановления действия и аннулирования указанного свидетельства согласно приложению N 1 к настоящему приказу;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/>
        <w:ind w:left="0" w:right="0" w:firstLine="72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форму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согласно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риложению N 2 к настоящему приказу;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/>
        <w:ind w:left="0" w:righ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 к оформлению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ставом, согласно приложению N 3 к настоящему приказу.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Инновационным в новой версии порядка является возможность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роведения теоретических испытаний Кандидата в дистанционной форме (при наличии технической возможности).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0"/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eastAsia="Times New Roman" w:cs="Times New Roman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Основной текст (7)_"/>
    <w:basedOn w:val="833"/>
    <w:link w:val="837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paragraph" w:styleId="837" w:customStyle="1">
    <w:name w:val="Основной текст (7)"/>
    <w:basedOn w:val="832"/>
    <w:link w:val="836"/>
    <w:pPr>
      <w:widowControl w:val="off"/>
      <w:shd w:val="clear" w:color="auto" w:fill="ffffff"/>
      <w:spacing w:before="300" w:after="120" w:line="370" w:lineRule="exact"/>
      <w:ind w:firstLine="740"/>
      <w:jc w:val="both"/>
    </w:pPr>
    <w:rPr>
      <w:rFonts w:ascii="Times New Roman" w:hAnsi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Елена Станиславовна</dc:creator>
  <cp:lastModifiedBy>user</cp:lastModifiedBy>
  <cp:revision>25</cp:revision>
  <dcterms:created xsi:type="dcterms:W3CDTF">2024-02-12T05:40:00Z</dcterms:created>
  <dcterms:modified xsi:type="dcterms:W3CDTF">2025-12-02T13:12:31Z</dcterms:modified>
</cp:coreProperties>
</file>